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sz w:val="24"/>
          <w:szCs w:val="24"/>
          <w:lang w:val="en-US" w:eastAsia="zh-CN"/>
        </w:rPr>
      </w:pPr>
      <w:bookmarkStart w:id="0" w:name="DocumentFor"/>
      <w:bookmarkEnd w:id="0"/>
      <w:bookmarkStart w:id="1" w:name="Title"/>
      <w:bookmarkEnd w:id="1"/>
      <w:r>
        <w:rPr>
          <w:b/>
          <w:sz w:val="24"/>
          <w:szCs w:val="24"/>
        </w:rPr>
        <w:t>3GPP TSG RAN WG2</w:t>
      </w:r>
      <w:r>
        <w:rPr>
          <w:rFonts w:hint="eastAsia"/>
          <w:b/>
          <w:sz w:val="24"/>
          <w:szCs w:val="24"/>
        </w:rPr>
        <w:t xml:space="preserve"> Meeting </w:t>
      </w:r>
      <w:r>
        <w:rPr>
          <w:b/>
          <w:sz w:val="24"/>
          <w:szCs w:val="24"/>
        </w:rPr>
        <w:t>#1</w:t>
      </w:r>
      <w:r>
        <w:rPr>
          <w:rFonts w:hint="eastAsia" w:eastAsia="宋体"/>
          <w:b/>
          <w:sz w:val="24"/>
          <w:szCs w:val="24"/>
          <w:lang w:val="en-US" w:eastAsia="zh-CN"/>
        </w:rPr>
        <w:t>26</w:t>
      </w:r>
      <w:r>
        <w:rPr>
          <w:b/>
          <w:sz w:val="24"/>
          <w:szCs w:val="24"/>
        </w:rPr>
        <w:tab/>
      </w:r>
      <w:r>
        <w:rPr>
          <w:rFonts w:hint="eastAsia"/>
          <w:b/>
          <w:sz w:val="24"/>
          <w:szCs w:val="24"/>
        </w:rPr>
        <w:t>R2-2405023</w:t>
      </w:r>
    </w:p>
    <w:p>
      <w:pPr>
        <w:pStyle w:val="56"/>
        <w:jc w:val="left"/>
        <w:rPr>
          <w:rFonts w:hint="eastAsia" w:cs="Arial"/>
          <w:sz w:val="24"/>
          <w:szCs w:val="24"/>
        </w:rPr>
      </w:pPr>
      <w:r>
        <w:rPr>
          <w:rFonts w:hint="eastAsia" w:cs="Arial"/>
          <w:sz w:val="24"/>
          <w:szCs w:val="24"/>
        </w:rPr>
        <w:t>Fukuoka, Japan, May 20</w:t>
      </w:r>
      <w:r>
        <w:rPr>
          <w:rFonts w:hint="eastAsia" w:eastAsia="宋体" w:cs="Arial"/>
          <w:sz w:val="24"/>
          <w:szCs w:val="24"/>
          <w:vertAlign w:val="superscript"/>
          <w:lang w:val="en-US" w:eastAsia="zh-CN"/>
        </w:rPr>
        <w:t>th</w:t>
      </w:r>
      <w:r>
        <w:rPr>
          <w:rFonts w:hint="eastAsia" w:cs="Arial"/>
          <w:sz w:val="24"/>
          <w:szCs w:val="24"/>
        </w:rPr>
        <w:t xml:space="preserve"> - 24</w:t>
      </w:r>
      <w:r>
        <w:rPr>
          <w:rFonts w:hint="eastAsia" w:eastAsia="宋体" w:cs="Arial"/>
          <w:sz w:val="24"/>
          <w:szCs w:val="24"/>
          <w:vertAlign w:val="superscript"/>
          <w:lang w:val="en-US" w:eastAsia="zh-CN"/>
        </w:rPr>
        <w:t>th</w:t>
      </w:r>
      <w:r>
        <w:rPr>
          <w:rFonts w:hint="eastAsia" w:cs="Arial"/>
          <w:sz w:val="24"/>
          <w:szCs w:val="24"/>
        </w:rPr>
        <w:t>, 2024</w:t>
      </w:r>
    </w:p>
    <w:p>
      <w:pPr>
        <w:pStyle w:val="56"/>
        <w:jc w:val="left"/>
        <w:rPr>
          <w:rFonts w:hint="default" w:eastAsia="宋体" w:cs="Arial"/>
          <w:sz w:val="24"/>
          <w:szCs w:val="24"/>
          <w:lang w:val="en-US" w:eastAsia="zh-CN"/>
        </w:rPr>
      </w:pPr>
      <w:r>
        <w:rPr>
          <w:rFonts w:cs="Arial"/>
          <w:sz w:val="24"/>
          <w:szCs w:val="24"/>
        </w:rPr>
        <w:t>Agenda Item:</w:t>
      </w:r>
      <w:r>
        <w:rPr>
          <w:rFonts w:cs="Arial"/>
          <w:sz w:val="24"/>
          <w:szCs w:val="24"/>
        </w:rPr>
        <w:tab/>
      </w:r>
      <w:r>
        <w:rPr>
          <w:rFonts w:hint="eastAsia" w:eastAsia="宋体" w:cs="Arial"/>
          <w:sz w:val="24"/>
          <w:szCs w:val="24"/>
          <w:lang w:val="en-US" w:eastAsia="zh-CN"/>
        </w:rPr>
        <w:t>8.9.3</w:t>
      </w:r>
    </w:p>
    <w:p>
      <w:pPr>
        <w:pStyle w:val="56"/>
        <w:jc w:val="left"/>
        <w:rPr>
          <w:rFonts w:cs="Arial"/>
          <w:sz w:val="24"/>
          <w:szCs w:val="24"/>
        </w:rPr>
      </w:pPr>
      <w:r>
        <w:rPr>
          <w:rFonts w:cs="Arial"/>
          <w:sz w:val="24"/>
          <w:szCs w:val="24"/>
        </w:rPr>
        <w:t>Source:</w:t>
      </w:r>
      <w:r>
        <w:rPr>
          <w:rFonts w:cs="Arial"/>
          <w:sz w:val="24"/>
          <w:szCs w:val="24"/>
        </w:rPr>
        <w:tab/>
      </w:r>
      <w:r>
        <w:rPr>
          <w:rFonts w:eastAsia="宋体" w:cs="Arial"/>
          <w:sz w:val="24"/>
          <w:szCs w:val="24"/>
        </w:rPr>
        <w:t>CMCC</w:t>
      </w:r>
      <w:r>
        <w:rPr>
          <w:rFonts w:eastAsia="宋体" w:cs="Arial"/>
          <w:sz w:val="24"/>
          <w:szCs w:val="24"/>
        </w:rPr>
        <w:tab/>
      </w:r>
    </w:p>
    <w:p>
      <w:pPr>
        <w:pStyle w:val="56"/>
        <w:jc w:val="left"/>
        <w:rPr>
          <w:rFonts w:hint="default" w:cs="Arial" w:eastAsiaTheme="minorEastAsia"/>
          <w:sz w:val="24"/>
          <w:szCs w:val="24"/>
          <w:lang w:val="en-US" w:eastAsia="zh-CN"/>
        </w:rPr>
      </w:pPr>
      <w:r>
        <w:rPr>
          <w:rFonts w:cs="Arial"/>
          <w:sz w:val="24"/>
          <w:szCs w:val="24"/>
        </w:rPr>
        <w:t>Title:</w:t>
      </w:r>
      <w:r>
        <w:rPr>
          <w:rFonts w:cs="Arial"/>
          <w:sz w:val="24"/>
          <w:szCs w:val="24"/>
        </w:rPr>
        <w:tab/>
      </w:r>
      <w:r>
        <w:rPr>
          <w:rFonts w:hint="eastAsia" w:cs="Arial" w:eastAsiaTheme="minorEastAsia"/>
          <w:sz w:val="24"/>
          <w:szCs w:val="24"/>
          <w:lang w:val="en-US" w:eastAsia="zh-CN"/>
        </w:rPr>
        <w:t>Considerations</w:t>
      </w:r>
      <w:r>
        <w:rPr>
          <w:rFonts w:cs="Arial" w:eastAsiaTheme="minorEastAsia"/>
          <w:sz w:val="24"/>
          <w:szCs w:val="24"/>
        </w:rPr>
        <w:t xml:space="preserve"> on </w:t>
      </w:r>
      <w:r>
        <w:rPr>
          <w:rFonts w:hint="eastAsia" w:cs="Arial" w:eastAsiaTheme="minorEastAsia"/>
          <w:sz w:val="24"/>
          <w:szCs w:val="24"/>
          <w:lang w:val="en-US" w:eastAsia="zh-CN"/>
        </w:rPr>
        <w:t>EDT enhancemen</w:t>
      </w:r>
      <w:bookmarkStart w:id="4" w:name="_GoBack"/>
      <w:bookmarkEnd w:id="4"/>
      <w:r>
        <w:rPr>
          <w:rFonts w:hint="eastAsia" w:cs="Arial" w:eastAsiaTheme="minorEastAsia"/>
          <w:sz w:val="24"/>
          <w:szCs w:val="24"/>
          <w:lang w:val="en-US" w:eastAsia="zh-CN"/>
        </w:rPr>
        <w:t>ts for IoT-NTN</w:t>
      </w:r>
    </w:p>
    <w:p>
      <w:pPr>
        <w:pStyle w:val="56"/>
        <w:jc w:val="left"/>
        <w:rPr>
          <w:rFonts w:cs="Arial" w:eastAsiaTheme="minorEastAsia"/>
          <w:sz w:val="24"/>
          <w:szCs w:val="24"/>
        </w:rPr>
      </w:pPr>
      <w:r>
        <w:rPr>
          <w:rFonts w:cs="Arial"/>
          <w:sz w:val="24"/>
          <w:szCs w:val="24"/>
        </w:rPr>
        <w:t>Document for:</w:t>
      </w:r>
      <w:r>
        <w:rPr>
          <w:rFonts w:cs="Arial"/>
          <w:sz w:val="24"/>
          <w:szCs w:val="24"/>
        </w:rPr>
        <w:tab/>
      </w:r>
      <w:r>
        <w:rPr>
          <w:rFonts w:cs="Arial"/>
          <w:sz w:val="24"/>
          <w:szCs w:val="24"/>
        </w:rPr>
        <w:t>Discussion, Decision</w:t>
      </w:r>
    </w:p>
    <w:p>
      <w:pPr>
        <w:pStyle w:val="2"/>
        <w:rPr>
          <w:rFonts w:cs="Arial"/>
          <w:sz w:val="32"/>
          <w:szCs w:val="32"/>
        </w:rPr>
      </w:pPr>
      <w:r>
        <w:rPr>
          <w:rFonts w:cs="Arial"/>
          <w:sz w:val="32"/>
          <w:szCs w:val="32"/>
        </w:rPr>
        <w:t>Introduction</w:t>
      </w:r>
    </w:p>
    <w:p>
      <w:pPr>
        <w:numPr>
          <w:ilvl w:val="0"/>
          <w:numId w:val="0"/>
        </w:numPr>
        <w:spacing w:after="0"/>
        <w:rPr>
          <w:lang w:val="en-US"/>
        </w:rPr>
      </w:pPr>
      <w:r>
        <w:rPr>
          <w:rFonts w:hint="eastAsia" w:eastAsia="宋体"/>
          <w:bCs/>
          <w:lang w:val="en-US" w:eastAsia="zh-CN"/>
        </w:rPr>
        <w:t>In last meeting, we have mainly discussed the early data transmission scope for IoT-NTN and achieved some agreements as follows [1]:</w:t>
      </w:r>
    </w:p>
    <w:p>
      <w:pPr>
        <w:pStyle w:val="6"/>
        <w:pBdr>
          <w:top w:val="single" w:color="auto" w:sz="4" w:space="1"/>
          <w:left w:val="single" w:color="auto" w:sz="4" w:space="4"/>
          <w:bottom w:val="single" w:color="auto" w:sz="4" w:space="1"/>
          <w:right w:val="single" w:color="auto" w:sz="4" w:space="4"/>
        </w:pBdr>
        <w:rPr>
          <w:b/>
          <w:bCs/>
        </w:rPr>
      </w:pPr>
      <w:r>
        <w:rPr>
          <w:b/>
          <w:bCs/>
        </w:rPr>
        <w:t>Agreements:</w:t>
      </w:r>
    </w:p>
    <w:p>
      <w:pPr>
        <w:pStyle w:val="6"/>
        <w:numPr>
          <w:ilvl w:val="0"/>
          <w:numId w:val="11"/>
        </w:numPr>
        <w:pBdr>
          <w:top w:val="single" w:color="auto" w:sz="4" w:space="1"/>
          <w:left w:val="single" w:color="auto" w:sz="4" w:space="4"/>
          <w:bottom w:val="single" w:color="auto" w:sz="4" w:space="1"/>
          <w:right w:val="single" w:color="auto" w:sz="4" w:space="4"/>
        </w:pBdr>
        <w:rPr>
          <w:b/>
          <w:bCs/>
        </w:rPr>
      </w:pPr>
      <w:r>
        <w:rPr>
          <w:b/>
          <w:bCs/>
        </w:rPr>
        <w:t>Both NB-IoT and eMTC are within scope of uplink capacity enhancements</w:t>
      </w:r>
    </w:p>
    <w:p>
      <w:pPr>
        <w:pStyle w:val="6"/>
        <w:numPr>
          <w:ilvl w:val="0"/>
          <w:numId w:val="11"/>
        </w:numPr>
        <w:pBdr>
          <w:top w:val="single" w:color="auto" w:sz="4" w:space="1"/>
          <w:left w:val="single" w:color="auto" w:sz="4" w:space="4"/>
          <w:bottom w:val="single" w:color="auto" w:sz="4" w:space="1"/>
          <w:right w:val="single" w:color="auto" w:sz="4" w:space="4"/>
        </w:pBdr>
        <w:rPr>
          <w:b/>
          <w:bCs/>
        </w:rPr>
      </w:pPr>
      <w:r>
        <w:rPr>
          <w:b/>
          <w:bCs/>
        </w:rPr>
        <w:t>Both C-plane and U-plane solutions are within scope of uplink capacity enhancements.</w:t>
      </w:r>
    </w:p>
    <w:p>
      <w:pPr>
        <w:pStyle w:val="6"/>
        <w:numPr>
          <w:ilvl w:val="0"/>
          <w:numId w:val="11"/>
        </w:numPr>
        <w:pBdr>
          <w:top w:val="single" w:color="auto" w:sz="4" w:space="1"/>
          <w:left w:val="single" w:color="auto" w:sz="4" w:space="4"/>
          <w:bottom w:val="single" w:color="auto" w:sz="4" w:space="1"/>
          <w:right w:val="single" w:color="auto" w:sz="4" w:space="4"/>
        </w:pBdr>
        <w:rPr>
          <w:b/>
          <w:bCs/>
        </w:rPr>
      </w:pPr>
      <w:r>
        <w:rPr>
          <w:b/>
          <w:bCs/>
        </w:rPr>
        <w:t>Only CIoT EPS is within scope of uplink capacity enhancements</w:t>
      </w:r>
    </w:p>
    <w:p>
      <w:pPr>
        <w:suppressAutoHyphens/>
        <w:adjustRightInd/>
        <w:spacing w:before="120"/>
        <w:rPr>
          <w:rFonts w:eastAsiaTheme="minorEastAsia"/>
        </w:rPr>
      </w:pPr>
      <w:r>
        <w:rPr>
          <w:rFonts w:hint="eastAsia" w:cs="Arial" w:eastAsiaTheme="minorEastAsia"/>
        </w:rPr>
        <w:t>I</w:t>
      </w:r>
      <w:r>
        <w:rPr>
          <w:rFonts w:cs="Arial"/>
        </w:rPr>
        <w:t>n this contribution, we would like to</w:t>
      </w:r>
      <w:r>
        <w:rPr>
          <w:rFonts w:hint="eastAsia" w:eastAsia="宋体" w:cs="Arial"/>
          <w:lang w:val="en-US" w:eastAsia="zh-CN"/>
        </w:rPr>
        <w:t xml:space="preserve"> </w:t>
      </w:r>
      <w:r>
        <w:rPr>
          <w:rFonts w:cs="Arial"/>
        </w:rPr>
        <w:t xml:space="preserve">provide </w:t>
      </w:r>
      <w:r>
        <w:rPr>
          <w:rFonts w:hint="eastAsia" w:cs="Arial" w:eastAsiaTheme="minorEastAsia"/>
          <w:lang w:val="en-US" w:eastAsia="zh-CN"/>
        </w:rPr>
        <w:t>some discussions on</w:t>
      </w:r>
      <w:r>
        <w:rPr>
          <w:rFonts w:hint="eastAsia" w:cs="Arial" w:eastAsiaTheme="minorEastAsia"/>
        </w:rPr>
        <w:t xml:space="preserve"> potential enhancements </w:t>
      </w:r>
      <w:r>
        <w:rPr>
          <w:rFonts w:hint="eastAsia" w:cs="Arial" w:eastAsiaTheme="minorEastAsia"/>
          <w:lang w:val="en-US" w:eastAsia="zh-CN"/>
        </w:rPr>
        <w:t>for</w:t>
      </w:r>
      <w:r>
        <w:rPr>
          <w:rFonts w:cs="Arial"/>
        </w:rPr>
        <w:t xml:space="preserve"> </w:t>
      </w:r>
      <w:r>
        <w:rPr>
          <w:rFonts w:hint="eastAsia" w:eastAsia="宋体" w:cs="Arial"/>
          <w:lang w:val="en-US" w:eastAsia="zh-CN"/>
        </w:rPr>
        <w:t>EDT in</w:t>
      </w:r>
      <w:r>
        <w:rPr>
          <w:rFonts w:cs="Arial"/>
        </w:rPr>
        <w:t xml:space="preserve"> </w:t>
      </w:r>
      <w:r>
        <w:rPr>
          <w:rFonts w:hint="eastAsia" w:eastAsia="宋体" w:cs="Arial"/>
          <w:lang w:val="en-US" w:eastAsia="zh-CN"/>
        </w:rPr>
        <w:t>IoT-NTN system</w:t>
      </w:r>
      <w:r>
        <w:rPr>
          <w:rFonts w:hint="eastAsia" w:cs="Arial" w:eastAsiaTheme="minorEastAsia"/>
        </w:rPr>
        <w:t>.</w:t>
      </w:r>
    </w:p>
    <w:p>
      <w:pPr>
        <w:pStyle w:val="2"/>
        <w:rPr>
          <w:rFonts w:hint="default" w:eastAsiaTheme="minorEastAsia"/>
          <w:bCs/>
          <w:sz w:val="24"/>
          <w:szCs w:val="24"/>
          <w:u w:val="single"/>
          <w:lang w:val="en-US" w:eastAsia="zh-CN"/>
        </w:rPr>
      </w:pPr>
      <w:r>
        <w:rPr>
          <w:rFonts w:cs="Arial"/>
          <w:sz w:val="32"/>
          <w:szCs w:val="32"/>
        </w:rPr>
        <w:t>Discussion</w:t>
      </w:r>
      <w:bookmarkStart w:id="2" w:name="_Hlk41985036"/>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Early Data Transmission (EDT)</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Per the TS 36.300 [2], existing EDT procedure includes MO-EDT (Mobile Originated Early Data Transmission) and MT-EDT (Mobile Terminated Early Data Transmission). And MO-EDT allows one uplink data transmission optionally followed by one downlink data transmission during the random access procedure, while MT-EDT is intended for a single downlink data transmission during the random access procedure.</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For example, the current MO-EDT and MT-EDT for Control Plane CIoT EPS Optimisation is as following respectively:</w:t>
      </w:r>
    </w:p>
    <w:p>
      <w:pPr>
        <w:pStyle w:val="73"/>
      </w:pPr>
      <w:r>
        <w:drawing>
          <wp:inline distT="0" distB="0" distL="114300" distR="114300">
            <wp:extent cx="5229225" cy="251460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229225" cy="2514600"/>
                    </a:xfrm>
                    <a:prstGeom prst="rect">
                      <a:avLst/>
                    </a:prstGeom>
                    <a:noFill/>
                    <a:ln>
                      <a:noFill/>
                    </a:ln>
                  </pic:spPr>
                </pic:pic>
              </a:graphicData>
            </a:graphic>
          </wp:inline>
        </w:drawing>
      </w:r>
    </w:p>
    <w:p>
      <w:pPr>
        <w:pStyle w:val="60"/>
        <w:spacing w:after="0"/>
        <w:ind w:left="0" w:firstLine="0"/>
        <w:jc w:val="center"/>
        <w:rPr>
          <w:rFonts w:hint="eastAsia" w:eastAsia="宋体"/>
          <w:b/>
          <w:bCs/>
          <w:lang w:val="en-US" w:eastAsia="zh-CN"/>
        </w:rPr>
      </w:pPr>
      <w:r>
        <w:rPr>
          <w:b/>
          <w:bCs/>
        </w:rPr>
        <w:t>Figure 7.3b-1: MO-EDT for Control Plane CIoT EPS Optimisation</w:t>
      </w:r>
      <w:r>
        <w:rPr>
          <w:rFonts w:hint="eastAsia" w:eastAsia="宋体"/>
          <w:b/>
          <w:bCs/>
          <w:lang w:val="en-US" w:eastAsia="zh-CN"/>
        </w:rPr>
        <w:t xml:space="preserve"> [2]</w:t>
      </w:r>
    </w:p>
    <w:p>
      <w:pPr>
        <w:pStyle w:val="60"/>
        <w:spacing w:after="0"/>
        <w:ind w:left="0" w:firstLine="0"/>
        <w:jc w:val="center"/>
        <w:rPr>
          <w:rFonts w:hint="default" w:eastAsia="宋体"/>
          <w:lang w:val="en-US" w:eastAsia="zh-CN"/>
        </w:rPr>
      </w:pPr>
    </w:p>
    <w:p>
      <w:pPr>
        <w:pStyle w:val="73"/>
      </w:pPr>
      <w:r>
        <w:object>
          <v:shape id="_x0000_i1025" o:spt="75" type="#_x0000_t75" style="height:129pt;width:411.7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pStyle w:val="73"/>
        <w:rPr>
          <w:rFonts w:hint="default" w:eastAsia="宋体"/>
          <w:b/>
          <w:bCs w:val="0"/>
          <w:lang w:val="en-US" w:eastAsia="zh-CN"/>
        </w:rPr>
      </w:pPr>
      <w:r>
        <w:rPr>
          <w:b/>
          <w:bCs w:val="0"/>
        </w:rPr>
        <w:t>Figure 7.3c-1: MT-EDT for Control Plane CIoT EPS Optimisation</w:t>
      </w:r>
      <w:r>
        <w:rPr>
          <w:rFonts w:hint="eastAsia" w:eastAsia="宋体"/>
          <w:b/>
          <w:bCs w:val="0"/>
          <w:lang w:val="en-US" w:eastAsia="zh-CN"/>
        </w:rPr>
        <w:t xml:space="preserve"> [2]</w:t>
      </w:r>
    </w:p>
    <w:p>
      <w:pPr>
        <w:pStyle w:val="60"/>
        <w:spacing w:after="0"/>
        <w:ind w:left="0" w:firstLine="0"/>
        <w:rPr>
          <w:rFonts w:hint="eastAsia" w:eastAsia="宋体"/>
          <w:bCs/>
          <w:lang w:val="en-US" w:eastAsia="zh-CN"/>
        </w:rPr>
      </w:pPr>
      <w:r>
        <w:rPr>
          <w:rFonts w:hint="eastAsia" w:eastAsiaTheme="minorEastAsia"/>
          <w:b w:val="0"/>
          <w:bCs w:val="0"/>
          <w:sz w:val="20"/>
          <w:szCs w:val="20"/>
          <w:lang w:val="en-US" w:eastAsia="zh-CN"/>
        </w:rPr>
        <w:t xml:space="preserve">To improve UL system capacity, </w:t>
      </w:r>
      <w:r>
        <w:rPr>
          <w:bCs/>
        </w:rPr>
        <w:t>the necessary uplink and downlink signaling to complete an EDT transaction</w:t>
      </w:r>
      <w:r>
        <w:rPr>
          <w:rFonts w:hint="eastAsia" w:eastAsia="宋体"/>
          <w:bCs/>
          <w:lang w:val="en-US" w:eastAsia="zh-CN"/>
        </w:rPr>
        <w:t xml:space="preserve"> could be considered to reduce as much as possible, which as covered in the WID scope:</w:t>
      </w:r>
    </w:p>
    <w:p>
      <w:pPr>
        <w:pStyle w:val="60"/>
        <w:numPr>
          <w:ilvl w:val="0"/>
          <w:numId w:val="12"/>
        </w:numPr>
        <w:spacing w:after="0"/>
        <w:ind w:left="840" w:leftChars="0" w:hanging="420" w:firstLineChars="0"/>
        <w:rPr>
          <w:rFonts w:hint="eastAsia" w:eastAsia="宋体"/>
          <w:bCs/>
          <w:i/>
          <w:iCs/>
          <w:lang w:val="en-US" w:eastAsia="zh-CN"/>
        </w:rPr>
      </w:pPr>
      <w:r>
        <w:rPr>
          <w:rFonts w:hint="eastAsia" w:eastAsia="宋体"/>
          <w:bCs/>
          <w:i/>
          <w:iCs/>
          <w:lang w:val="en-US" w:eastAsia="zh-CN"/>
        </w:rPr>
        <w:t xml:space="preserve">Msg3 transmission without msg1/ </w:t>
      </w:r>
      <w:r>
        <w:rPr>
          <w:bCs/>
          <w:i/>
          <w:iCs/>
        </w:rPr>
        <w:t>Random Access Response</w:t>
      </w:r>
      <w:r>
        <w:rPr>
          <w:rFonts w:hint="eastAsia" w:eastAsia="宋体"/>
          <w:bCs/>
          <w:i/>
          <w:iCs/>
          <w:lang w:val="en-US" w:eastAsia="zh-CN"/>
        </w:rPr>
        <w:t xml:space="preserve"> (RAR)</w:t>
      </w:r>
    </w:p>
    <w:p>
      <w:pPr>
        <w:pStyle w:val="60"/>
        <w:numPr>
          <w:ilvl w:val="0"/>
          <w:numId w:val="12"/>
        </w:numPr>
        <w:spacing w:after="0"/>
        <w:ind w:left="840" w:leftChars="0" w:hanging="420" w:firstLineChars="0"/>
        <w:rPr>
          <w:rFonts w:hint="eastAsia" w:eastAsiaTheme="minorEastAsia"/>
          <w:b w:val="0"/>
          <w:bCs w:val="0"/>
          <w:sz w:val="20"/>
          <w:szCs w:val="20"/>
          <w:lang w:val="en-US" w:eastAsia="zh-CN"/>
        </w:rPr>
      </w:pPr>
      <w:r>
        <w:rPr>
          <w:rFonts w:hint="eastAsia" w:eastAsia="宋体"/>
          <w:bCs/>
          <w:i/>
          <w:iCs/>
          <w:lang w:val="en-US" w:eastAsia="zh-CN"/>
        </w:rPr>
        <w:t>Efficient delivery (reduced overhead) of msg4 / RRCEarlyDataComplete</w:t>
      </w:r>
    </w:p>
    <w:p>
      <w:pPr>
        <w:pStyle w:val="60"/>
        <w:spacing w:after="0"/>
        <w:ind w:left="0" w:firstLine="0"/>
        <w:rPr>
          <w:rFonts w:hint="eastAsia" w:eastAsia="宋体"/>
          <w:lang w:val="en-US" w:eastAsia="zh-CN"/>
        </w:rPr>
      </w:pPr>
      <w:r>
        <w:rPr>
          <w:rFonts w:hint="eastAsia" w:eastAsiaTheme="minorEastAsia"/>
          <w:b w:val="0"/>
          <w:bCs w:val="0"/>
          <w:sz w:val="20"/>
          <w:szCs w:val="20"/>
          <w:lang w:val="en-US" w:eastAsia="zh-CN"/>
        </w:rPr>
        <w:t xml:space="preserve">In addition to improve UL system capacity, </w:t>
      </w:r>
      <w:r>
        <w:rPr>
          <w:rFonts w:hint="eastAsia" w:eastAsia="Arial Unicode MS"/>
          <w:lang w:val="en-US" w:eastAsia="zh-CN"/>
        </w:rPr>
        <w:t xml:space="preserve">Early Data Transmission mechanism could transmit data directly without </w:t>
      </w:r>
      <w:r>
        <w:t>transition to RRC CONNECTED</w:t>
      </w:r>
      <w:r>
        <w:rPr>
          <w:rFonts w:hint="eastAsia" w:eastAsia="宋体"/>
          <w:lang w:val="en-US" w:eastAsia="zh-CN"/>
        </w:rPr>
        <w:t xml:space="preserve">, which </w:t>
      </w:r>
      <w:r>
        <w:rPr>
          <w:rFonts w:hint="eastAsia" w:eastAsia="Arial Unicode MS"/>
          <w:lang w:val="en-US" w:eastAsia="zh-CN"/>
        </w:rPr>
        <w:t>is also beneficial for latency reduction in IoT-NTN scenario considering that</w:t>
      </w:r>
      <w:r>
        <w:rPr>
          <w:rFonts w:hint="eastAsia" w:eastAsiaTheme="minorEastAsia"/>
          <w:b w:val="0"/>
          <w:bCs w:val="0"/>
          <w:sz w:val="20"/>
          <w:szCs w:val="20"/>
          <w:lang w:val="en-US" w:eastAsia="zh-CN"/>
        </w:rPr>
        <w:t xml:space="preserve"> </w:t>
      </w:r>
      <w:r>
        <w:rPr>
          <w:rFonts w:eastAsiaTheme="minorEastAsia"/>
          <w:bCs/>
          <w:lang w:eastAsia="zh-CN"/>
        </w:rPr>
        <w:t>the propagation delay is much larger than the terrestrial network</w:t>
      </w:r>
      <w:r>
        <w:rPr>
          <w:rFonts w:hint="eastAsia" w:eastAsiaTheme="minorEastAsia"/>
          <w:bCs/>
          <w:lang w:val="en-US" w:eastAsia="zh-CN"/>
        </w:rPr>
        <w:t xml:space="preserve"> and </w:t>
      </w:r>
      <w:r>
        <w:rPr>
          <w:rFonts w:eastAsia="Arial Unicode MS"/>
        </w:rPr>
        <w:t>the maximum round trip delay is 541.46ms for GEO and 25.77ms for LEO</w:t>
      </w:r>
      <w:r>
        <w:rPr>
          <w:rFonts w:hint="eastAsia" w:eastAsia="Arial Unicode MS"/>
          <w:lang w:val="en-US" w:eastAsia="zh-CN"/>
        </w:rPr>
        <w:t xml:space="preserve">. And in IoT-NTN, </w:t>
      </w:r>
      <w:r>
        <w:t xml:space="preserve">UE </w:t>
      </w:r>
      <w:r>
        <w:rPr>
          <w:rFonts w:hint="eastAsia" w:eastAsia="宋体"/>
          <w:lang w:val="en-US" w:eastAsia="zh-CN"/>
        </w:rPr>
        <w:t>could</w:t>
      </w:r>
      <w:r>
        <w:t xml:space="preserve"> pre-compensate the Timing Advance</w:t>
      </w:r>
      <w:r>
        <w:rPr>
          <w:rFonts w:hint="eastAsia" w:eastAsia="宋体"/>
          <w:lang w:val="en-US" w:eastAsia="zh-CN"/>
        </w:rPr>
        <w:t xml:space="preserve"> based on its own valid GNSS position as well as the ephemeris and common TA provided by network. Therefore to perform Msg3 transmission without msg1/ Random Access Response, EDT combination with Pre-configured resource could be considered. </w:t>
      </w:r>
    </w:p>
    <w:p>
      <w:pPr>
        <w:pStyle w:val="60"/>
        <w:spacing w:after="0"/>
        <w:ind w:left="0" w:firstLine="0"/>
        <w:rPr>
          <w:rFonts w:hint="eastAsia" w:eastAsia="Arial Unicode MS"/>
          <w:b/>
          <w:bCs/>
          <w:lang w:val="en-US" w:eastAsia="zh-CN"/>
        </w:rPr>
      </w:pPr>
      <w:r>
        <w:rPr>
          <w:rFonts w:hint="eastAsia" w:eastAsia="Arial Unicode MS"/>
          <w:b/>
          <w:bCs/>
          <w:lang w:val="en-US" w:eastAsia="zh-CN"/>
        </w:rPr>
        <w:t xml:space="preserve">Observation 1: Early Data Transmission mechanism is beneficial for both UL system capacity improvement and latency reduction in IoT-NTN scenario. </w:t>
      </w:r>
    </w:p>
    <w:p>
      <w:pPr>
        <w:pStyle w:val="60"/>
        <w:spacing w:after="0"/>
        <w:ind w:left="0" w:firstLine="0"/>
        <w:rPr>
          <w:rFonts w:hint="eastAsia" w:eastAsia="Arial Unicode MS"/>
          <w:b/>
          <w:bCs/>
          <w:lang w:val="en-US" w:eastAsia="zh-CN"/>
        </w:rPr>
      </w:pPr>
    </w:p>
    <w:p>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 xml:space="preserve">Further, in IoT-NTN system, especially NB-IoT, considering the larger DL signaling overhead (up to 53%) and the tight coupling between UL and DL transmission, DL system capacity degradation would lead to limited UL system capacity. The UL-driven traffic, such as Mobile Originated (MO) transmissions would be mainly affected. Therefore, we could consider to discuss enhancements for MO-EDT firstly. </w:t>
      </w:r>
    </w:p>
    <w:p>
      <w:pPr>
        <w:pStyle w:val="60"/>
        <w:numPr>
          <w:ilvl w:val="0"/>
          <w:numId w:val="0"/>
        </w:numPr>
        <w:overflowPunct w:val="0"/>
        <w:autoSpaceDE w:val="0"/>
        <w:autoSpaceDN w:val="0"/>
        <w:adjustRightInd w:val="0"/>
        <w:spacing w:after="0"/>
        <w:jc w:val="left"/>
        <w:textAlignment w:val="baseline"/>
        <w:rPr>
          <w:rFonts w:hint="eastAsia" w:eastAsia="宋体"/>
          <w:bCs/>
          <w:i w:val="0"/>
          <w:iCs w:val="0"/>
          <w:lang w:val="en-US" w:eastAsia="zh-CN"/>
        </w:rPr>
      </w:pPr>
      <w:r>
        <w:rPr>
          <w:rFonts w:hint="eastAsia" w:eastAsia="宋体"/>
          <w:b/>
          <w:bCs w:val="0"/>
          <w:i w:val="0"/>
          <w:iCs w:val="0"/>
          <w:lang w:val="en-US" w:eastAsia="zh-CN"/>
        </w:rPr>
        <w:t xml:space="preserve">Proposal 1: It is proposed to enhance EDT for IoT-NTN and discuss enhancements for MO-EDT firstly. </w:t>
      </w:r>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Contention based Preconfigured Uplink Resource (PUR)</w:t>
      </w:r>
    </w:p>
    <w:p>
      <w:pPr>
        <w:pStyle w:val="60"/>
        <w:spacing w:after="0"/>
        <w:ind w:left="0" w:firstLine="0"/>
        <w:rPr>
          <w:rFonts w:hint="eastAsia" w:eastAsia="宋体"/>
          <w:bCs/>
          <w:lang w:val="en-US" w:eastAsia="zh-CN"/>
        </w:rPr>
      </w:pPr>
      <w:r>
        <w:rPr>
          <w:rFonts w:hint="eastAsia" w:eastAsiaTheme="minorEastAsia"/>
          <w:b w:val="0"/>
          <w:bCs w:val="0"/>
          <w:sz w:val="20"/>
          <w:szCs w:val="20"/>
          <w:lang w:val="en-US" w:eastAsia="zh-CN"/>
        </w:rPr>
        <w:t xml:space="preserve">To increase the UL system capacity, solutions reducing the reliance on DL signaling could be discussed. Some existing solution such as Preconfigured Uplink Resource (PUR) could be considered. However, the existing PUR scheme is contention free shared (CFS) and needs to reserve resources for a given UE, which only supports a limited number of pre-configured UL transmission, having an impact on the potential gains as well as network capacity available to other UEs. To resolve the issue, a contention based PUR solution could be discussed. Network broadcasts one or several shared PUR pool(s) in a cell, then all the UEs in the cell select the UL resources in the PUR pool(s) randomly. Further, with the shared PUR pool(s), UE could perform EDT procedure </w:t>
      </w:r>
      <w:r>
        <w:rPr>
          <w:bCs/>
        </w:rPr>
        <w:t>without msg1/RAR</w:t>
      </w:r>
      <w:r>
        <w:rPr>
          <w:rFonts w:hint="eastAsia" w:eastAsia="宋体"/>
          <w:bCs/>
          <w:lang w:val="en-US" w:eastAsia="zh-CN"/>
        </w:rPr>
        <w:t>, that is to transmit msg3 directly to the network.</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2: It is proposed to consider a contention based PUR solution to improve the UL system capacity for IoT-NTN.</w:t>
      </w:r>
    </w:p>
    <w:p>
      <w:pPr>
        <w:pStyle w:val="3"/>
        <w:bidi w:val="0"/>
        <w:rPr>
          <w:rFonts w:hint="eastAsia" w:eastAsia="宋体"/>
          <w:b/>
          <w:bCs/>
          <w:sz w:val="24"/>
          <w:szCs w:val="24"/>
          <w:lang w:val="en-US" w:eastAsia="zh-CN"/>
        </w:rPr>
      </w:pPr>
      <w:r>
        <w:rPr>
          <w:rFonts w:hint="eastAsia" w:eastAsia="宋体" w:cs="Arial"/>
          <w:b/>
          <w:bCs/>
          <w:sz w:val="24"/>
          <w:szCs w:val="24"/>
          <w:lang w:val="en-US" w:eastAsia="zh-CN"/>
        </w:rPr>
        <w:t xml:space="preserve"> Contention Resolution</w:t>
      </w:r>
    </w:p>
    <w:p>
      <w:pPr>
        <w:pStyle w:val="60"/>
        <w:spacing w:after="0"/>
        <w:ind w:left="0" w:firstLine="0"/>
        <w:rPr>
          <w:rFonts w:hint="default" w:eastAsia="宋体"/>
          <w:lang w:val="en-US" w:eastAsia="zh-CN"/>
        </w:rPr>
      </w:pPr>
      <w:r>
        <w:rPr>
          <w:rFonts w:hint="eastAsia" w:eastAsia="宋体"/>
          <w:bCs/>
          <w:lang w:val="en-US" w:eastAsia="zh-CN"/>
        </w:rPr>
        <w:t xml:space="preserve">However, with </w:t>
      </w:r>
      <w:r>
        <w:rPr>
          <w:rFonts w:hint="eastAsia" w:eastAsiaTheme="minorEastAsia"/>
          <w:b w:val="0"/>
          <w:bCs w:val="0"/>
          <w:sz w:val="20"/>
          <w:szCs w:val="20"/>
          <w:lang w:val="en-US" w:eastAsia="zh-CN"/>
        </w:rPr>
        <w:t>contention based shared PUR resource, obviously, there will still be a collision issue. And we could consider a similar c</w:t>
      </w:r>
      <w:r>
        <w:rPr>
          <w:lang w:eastAsia="ko-KR"/>
        </w:rPr>
        <w:t xml:space="preserve">ontention </w:t>
      </w:r>
      <w:r>
        <w:rPr>
          <w:rFonts w:hint="eastAsia" w:eastAsia="宋体"/>
          <w:lang w:val="en-US" w:eastAsia="zh-CN"/>
        </w:rPr>
        <w:t>r</w:t>
      </w:r>
      <w:r>
        <w:rPr>
          <w:lang w:eastAsia="ko-KR"/>
        </w:rPr>
        <w:t>esolution</w:t>
      </w:r>
      <w:r>
        <w:rPr>
          <w:rFonts w:hint="eastAsia" w:eastAsia="宋体"/>
          <w:lang w:val="en-US" w:eastAsia="zh-CN"/>
        </w:rPr>
        <w:t xml:space="preserve"> scheme in CBRA procedure. In detail, network receives the CCCH SDU included in the Msg3 and transmitted Msg4 carrying a </w:t>
      </w:r>
      <w:r>
        <w:rPr>
          <w:lang w:eastAsia="ko-KR"/>
        </w:rPr>
        <w:t>UE Contention Resolution Identity MAC CE</w:t>
      </w:r>
      <w:r>
        <w:rPr>
          <w:rFonts w:hint="eastAsia" w:eastAsia="宋体"/>
          <w:lang w:val="en-US" w:eastAsia="zh-CN"/>
        </w:rPr>
        <w:t xml:space="preserve">. If the UE Contention Resolution Identity in the MAC CE matches the CCCH SDU transmitted in Msg3, this </w:t>
      </w:r>
      <w:r>
        <w:rPr>
          <w:lang w:eastAsia="ko-KR"/>
        </w:rPr>
        <w:t>Contention Resolution</w:t>
      </w:r>
      <w:r>
        <w:rPr>
          <w:rFonts w:hint="eastAsia" w:eastAsia="宋体"/>
          <w:lang w:val="en-US" w:eastAsia="zh-CN"/>
        </w:rPr>
        <w:t xml:space="preserve"> could be considered successfully.</w:t>
      </w:r>
    </w:p>
    <w:p>
      <w:pPr>
        <w:pStyle w:val="60"/>
        <w:spacing w:after="0"/>
        <w:ind w:left="0" w:firstLine="0"/>
        <w:rPr>
          <w:rFonts w:hint="eastAsia" w:eastAsia="宋体"/>
          <w:lang w:val="en-US" w:eastAsia="zh-CN"/>
        </w:rPr>
      </w:pPr>
      <w:r>
        <w:rPr>
          <w:rFonts w:hint="eastAsia" w:eastAsia="宋体"/>
          <w:b/>
          <w:bCs w:val="0"/>
          <w:i w:val="0"/>
          <w:iCs w:val="0"/>
          <w:lang w:val="en-US" w:eastAsia="zh-CN"/>
        </w:rPr>
        <w:t>Proposal 3: A similar contention resolution scheme in CBRA procedure could be considered as the baseline to resolve the collision issue of EDT based on CBS PUR.</w:t>
      </w:r>
    </w:p>
    <w:p>
      <w:pPr>
        <w:pStyle w:val="3"/>
        <w:bidi w:val="0"/>
        <w:rPr>
          <w:rFonts w:hint="eastAsia" w:eastAsia="宋体"/>
          <w:b/>
          <w:bCs/>
          <w:sz w:val="24"/>
          <w:szCs w:val="24"/>
          <w:lang w:val="en-US" w:eastAsia="zh-CN"/>
        </w:rPr>
      </w:pPr>
      <w:r>
        <w:rPr>
          <w:rFonts w:hint="eastAsia" w:eastAsia="宋体" w:cs="Arial"/>
          <w:b/>
          <w:bCs/>
          <w:sz w:val="24"/>
          <w:szCs w:val="24"/>
          <w:lang w:val="en-US" w:eastAsia="zh-CN"/>
        </w:rPr>
        <w:t xml:space="preserve"> Fallback mechanism based on maximum number of EDT transmissions</w:t>
      </w:r>
    </w:p>
    <w:p>
      <w:pPr>
        <w:pStyle w:val="60"/>
        <w:spacing w:after="0"/>
        <w:ind w:left="0" w:firstLine="0"/>
        <w:rPr>
          <w:rFonts w:hint="default" w:eastAsia="宋体"/>
          <w:bCs/>
          <w:lang w:val="en-US" w:eastAsia="zh-CN"/>
        </w:rPr>
      </w:pPr>
      <w:r>
        <w:rPr>
          <w:rFonts w:hint="eastAsia" w:eastAsia="宋体"/>
          <w:lang w:val="en-US" w:eastAsia="zh-CN"/>
        </w:rPr>
        <w:t xml:space="preserve">Then a maximum number of EDT transmissions based on </w:t>
      </w:r>
      <w:r>
        <w:rPr>
          <w:rFonts w:hint="eastAsia" w:eastAsiaTheme="minorEastAsia"/>
          <w:b w:val="0"/>
          <w:bCs w:val="0"/>
          <w:sz w:val="20"/>
          <w:szCs w:val="20"/>
          <w:lang w:val="en-US" w:eastAsia="zh-CN"/>
        </w:rPr>
        <w:t xml:space="preserve">shared PUR resource could be defined to avoid the more serious delay caused by too many attempts. If UE attempts up to the </w:t>
      </w:r>
      <w:r>
        <w:rPr>
          <w:rFonts w:hint="eastAsia" w:eastAsia="宋体"/>
          <w:lang w:val="en-US" w:eastAsia="zh-CN"/>
        </w:rPr>
        <w:t>maximum number of EDT transmissions, a fall back mechanism could be considered, i.e., to perform legacy RACH procedure to obtain UL resource.</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4: It is proposed to introduce a maximum number of EDT transmissions based on shared PUR resource to avoid the more serious delay caused by too many attempts.</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 xml:space="preserve">Proposal 5: If UE attempts up to the maximum number of EDT transmissions, a fall back mechanism could be considered, </w:t>
      </w:r>
      <w:r>
        <w:rPr>
          <w:rFonts w:hint="eastAsia" w:eastAsia="宋体"/>
          <w:b/>
          <w:bCs w:val="0"/>
          <w:lang w:val="en-US" w:eastAsia="zh-CN"/>
        </w:rPr>
        <w:t>i.e.,</w:t>
      </w:r>
      <w:r>
        <w:rPr>
          <w:rFonts w:hint="eastAsia" w:eastAsia="宋体"/>
          <w:b/>
          <w:bCs w:val="0"/>
          <w:i w:val="0"/>
          <w:iCs w:val="0"/>
          <w:lang w:val="en-US" w:eastAsia="zh-CN"/>
        </w:rPr>
        <w:t xml:space="preserve"> to perform legacy RACH procedure to obtain UL resource.</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 xml:space="preserve">EDT </w:t>
      </w:r>
      <w:r>
        <w:rPr>
          <w:rFonts w:hint="eastAsia" w:eastAsiaTheme="minorEastAsia"/>
          <w:sz w:val="20"/>
          <w:szCs w:val="20"/>
          <w:lang w:eastAsia="zh-CN"/>
        </w:rPr>
        <w:t xml:space="preserve">enhancements for </w:t>
      </w:r>
      <w:r>
        <w:rPr>
          <w:rFonts w:hint="eastAsia" w:eastAsiaTheme="minorEastAsia"/>
          <w:sz w:val="20"/>
          <w:szCs w:val="20"/>
          <w:lang w:val="en-US" w:eastAsia="zh-CN"/>
        </w:rPr>
        <w:t>IoT-NTN</w:t>
      </w:r>
      <w:r>
        <w:rPr>
          <w:rFonts w:eastAsiaTheme="minorEastAsia"/>
          <w:sz w:val="20"/>
          <w:szCs w:val="20"/>
          <w:lang w:eastAsia="zh-CN"/>
        </w:rPr>
        <w:t xml:space="preserve"> </w:t>
      </w:r>
      <w:r>
        <w:rPr>
          <w:rFonts w:eastAsia="宋体" w:cs="Arial"/>
          <w:sz w:val="20"/>
          <w:szCs w:val="20"/>
        </w:rPr>
        <w:t>and have the following proposals:</w:t>
      </w:r>
    </w:p>
    <w:p>
      <w:pPr>
        <w:pStyle w:val="60"/>
        <w:spacing w:after="0"/>
        <w:ind w:left="0" w:firstLine="0"/>
        <w:rPr>
          <w:rFonts w:hint="eastAsia" w:eastAsia="Arial Unicode MS"/>
          <w:b/>
          <w:bCs/>
          <w:lang w:val="en-US" w:eastAsia="zh-CN"/>
        </w:rPr>
      </w:pPr>
      <w:r>
        <w:rPr>
          <w:rFonts w:hint="eastAsia" w:eastAsia="Arial Unicode MS"/>
          <w:b/>
          <w:bCs/>
          <w:lang w:val="en-US" w:eastAsia="zh-CN"/>
        </w:rPr>
        <w:t xml:space="preserve">Observation 1: Early Data Transmission mechanism is beneficial for both UL system capacity improvement and latency reduction in IoT-NTN scenario. </w:t>
      </w:r>
    </w:p>
    <w:p>
      <w:pPr>
        <w:pStyle w:val="60"/>
        <w:numPr>
          <w:ilvl w:val="0"/>
          <w:numId w:val="0"/>
        </w:numPr>
        <w:overflowPunct w:val="0"/>
        <w:autoSpaceDE w:val="0"/>
        <w:autoSpaceDN w:val="0"/>
        <w:adjustRightInd w:val="0"/>
        <w:spacing w:after="0"/>
        <w:jc w:val="left"/>
        <w:textAlignment w:val="baseline"/>
        <w:rPr>
          <w:rFonts w:hint="eastAsia" w:eastAsia="宋体"/>
          <w:bCs/>
          <w:i w:val="0"/>
          <w:iCs w:val="0"/>
          <w:lang w:val="en-US" w:eastAsia="zh-CN"/>
        </w:rPr>
      </w:pPr>
      <w:r>
        <w:rPr>
          <w:rFonts w:hint="eastAsia" w:eastAsia="宋体"/>
          <w:b/>
          <w:bCs w:val="0"/>
          <w:i w:val="0"/>
          <w:iCs w:val="0"/>
          <w:lang w:val="en-US" w:eastAsia="zh-CN"/>
        </w:rPr>
        <w:t xml:space="preserve">Proposal 1: It is proposed to enhance EDT for IoT-NTN and discuss enhancements for MO-EDT firstly. </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2: It is proposed to consider a contention based PUR solution to improve the UL system capacity for IoT-NTN.</w:t>
      </w:r>
    </w:p>
    <w:p>
      <w:pPr>
        <w:pStyle w:val="60"/>
        <w:spacing w:after="0"/>
        <w:ind w:left="0" w:firstLine="0"/>
        <w:rPr>
          <w:rFonts w:hint="eastAsia" w:eastAsia="宋体"/>
          <w:lang w:val="en-US" w:eastAsia="zh-CN"/>
        </w:rPr>
      </w:pPr>
      <w:r>
        <w:rPr>
          <w:rFonts w:hint="eastAsia" w:eastAsia="宋体"/>
          <w:b/>
          <w:bCs w:val="0"/>
          <w:i w:val="0"/>
          <w:iCs w:val="0"/>
          <w:lang w:val="en-US" w:eastAsia="zh-CN"/>
        </w:rPr>
        <w:t>Proposal 3: A similar contention resolution scheme in CBRA procedure could be considered as the baseline to resolve the collision issue of EDT based on CBS PUR.</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4: It is proposed to introduce a maximum number of EDT transmissions based on shared PUR resource to avoid the more serious delay caused by too many attempts.</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 xml:space="preserve">Proposal 5: If UE attempts up to the maximum number of EDT transmissions, a fall back mechanism could be considered, </w:t>
      </w:r>
      <w:r>
        <w:rPr>
          <w:rFonts w:hint="eastAsia" w:eastAsia="宋体"/>
          <w:b/>
          <w:bCs w:val="0"/>
          <w:lang w:val="en-US" w:eastAsia="zh-CN"/>
        </w:rPr>
        <w:t>i.e.,</w:t>
      </w:r>
      <w:r>
        <w:rPr>
          <w:rFonts w:hint="eastAsia" w:eastAsia="宋体"/>
          <w:b/>
          <w:bCs w:val="0"/>
          <w:i w:val="0"/>
          <w:iCs w:val="0"/>
          <w:lang w:val="en-US" w:eastAsia="zh-CN"/>
        </w:rPr>
        <w:t xml:space="preserve"> to perform legacy RACH procedure to obtain UL resource.</w:t>
      </w:r>
    </w:p>
    <w:p>
      <w:pPr>
        <w:pStyle w:val="2"/>
        <w:rPr>
          <w:rFonts w:cs="Arial"/>
          <w:sz w:val="32"/>
          <w:szCs w:val="32"/>
        </w:rPr>
      </w:pPr>
      <w:r>
        <w:rPr>
          <w:rFonts w:cs="Arial"/>
          <w:sz w:val="32"/>
          <w:szCs w:val="32"/>
        </w:rPr>
        <w:t>Reference</w:t>
      </w:r>
    </w:p>
    <w:p>
      <w:pPr>
        <w:pStyle w:val="29"/>
        <w:numPr>
          <w:ilvl w:val="0"/>
          <w:numId w:val="13"/>
        </w:numPr>
        <w:overflowPunct/>
        <w:autoSpaceDE/>
        <w:autoSpaceDN/>
        <w:adjustRightInd/>
        <w:spacing w:beforeLines="50" w:after="0"/>
        <w:jc w:val="left"/>
        <w:textAlignment w:val="auto"/>
        <w:rPr>
          <w:rFonts w:hint="eastAsia"/>
          <w:sz w:val="20"/>
          <w:szCs w:val="20"/>
        </w:rPr>
      </w:pPr>
      <w:bookmarkStart w:id="3" w:name="_In-sequence_SDU_delivery"/>
      <w:bookmarkEnd w:id="3"/>
      <w:r>
        <w:rPr>
          <w:rFonts w:hint="eastAsia"/>
          <w:sz w:val="20"/>
          <w:szCs w:val="20"/>
        </w:rPr>
        <w:t>R2-125bis NR-NTN-IoT-NTN (Sergio) EOM</w:t>
      </w:r>
    </w:p>
    <w:p>
      <w:pPr>
        <w:pStyle w:val="29"/>
        <w:numPr>
          <w:ilvl w:val="0"/>
          <w:numId w:val="13"/>
        </w:numPr>
        <w:overflowPunct/>
        <w:autoSpaceDE/>
        <w:autoSpaceDN/>
        <w:adjustRightInd/>
        <w:spacing w:beforeLines="50" w:after="0"/>
        <w:jc w:val="left"/>
        <w:textAlignment w:val="auto"/>
        <w:rPr>
          <w:rFonts w:hint="eastAsia"/>
          <w:sz w:val="20"/>
          <w:szCs w:val="20"/>
        </w:rPr>
      </w:pPr>
      <w:r>
        <w:rPr>
          <w:rFonts w:hint="eastAsia"/>
          <w:sz w:val="20"/>
          <w:szCs w:val="20"/>
        </w:rPr>
        <w:t>3GPP TS 36.300 V18.0.0</w:t>
      </w:r>
      <w:r>
        <w:rPr>
          <w:rFonts w:hint="eastAsia" w:eastAsia="宋体"/>
          <w:sz w:val="20"/>
          <w:szCs w:val="20"/>
          <w:lang w:val="en-US" w:eastAsia="zh-CN"/>
        </w:rPr>
        <w:t xml:space="preserve"> Evolved Universal Terrestrial Radio Access (E-UTRA) and Evolved Universal Terrestrial Radio Access Network (E-UTRAN); Overall description; Stage 2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4</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2">
    <w:nsid w:val="0F584176"/>
    <w:multiLevelType w:val="singleLevel"/>
    <w:tmpl w:val="0F584176"/>
    <w:lvl w:ilvl="0" w:tentative="0">
      <w:start w:val="1"/>
      <w:numFmt w:val="bullet"/>
      <w:lvlText w:val=""/>
      <w:lvlJc w:val="left"/>
      <w:pPr>
        <w:tabs>
          <w:tab w:val="left" w:pos="420"/>
        </w:tabs>
        <w:ind w:left="840" w:hanging="420"/>
      </w:pPr>
      <w:rPr>
        <w:rFonts w:hint="default" w:ascii="Wingdings" w:hAnsi="Wingdings"/>
      </w:rPr>
    </w:lvl>
  </w:abstractNum>
  <w:abstractNum w:abstractNumId="3">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FA25E52"/>
    <w:multiLevelType w:val="multilevel"/>
    <w:tmpl w:val="6FA25E52"/>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2"/>
  </w:num>
  <w:num w:numId="11">
    <w:abstractNumId w:val="11"/>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036AA"/>
    <w:rsid w:val="015B631E"/>
    <w:rsid w:val="016318F9"/>
    <w:rsid w:val="017A73D0"/>
    <w:rsid w:val="018E0749"/>
    <w:rsid w:val="019A10AD"/>
    <w:rsid w:val="01BF172D"/>
    <w:rsid w:val="022F4B03"/>
    <w:rsid w:val="02744528"/>
    <w:rsid w:val="028D67E7"/>
    <w:rsid w:val="02CC0A1F"/>
    <w:rsid w:val="03A11802"/>
    <w:rsid w:val="03F47F88"/>
    <w:rsid w:val="048A5003"/>
    <w:rsid w:val="04A13B04"/>
    <w:rsid w:val="04B403C6"/>
    <w:rsid w:val="04BC080F"/>
    <w:rsid w:val="04DA176A"/>
    <w:rsid w:val="04F07943"/>
    <w:rsid w:val="04F50E2F"/>
    <w:rsid w:val="05606A49"/>
    <w:rsid w:val="05983EBC"/>
    <w:rsid w:val="06077EDA"/>
    <w:rsid w:val="06254DA5"/>
    <w:rsid w:val="06261BBF"/>
    <w:rsid w:val="0654248D"/>
    <w:rsid w:val="06565EAE"/>
    <w:rsid w:val="078C1F33"/>
    <w:rsid w:val="07B241B1"/>
    <w:rsid w:val="07B959B1"/>
    <w:rsid w:val="07E769A5"/>
    <w:rsid w:val="07EF7893"/>
    <w:rsid w:val="08350D3C"/>
    <w:rsid w:val="083F0917"/>
    <w:rsid w:val="0841118C"/>
    <w:rsid w:val="08AF444E"/>
    <w:rsid w:val="09133D3D"/>
    <w:rsid w:val="09BB5B6F"/>
    <w:rsid w:val="09E47F26"/>
    <w:rsid w:val="0A1A51CE"/>
    <w:rsid w:val="0A3F21EB"/>
    <w:rsid w:val="0A5E59A5"/>
    <w:rsid w:val="0A9740DA"/>
    <w:rsid w:val="0ACC0F45"/>
    <w:rsid w:val="0B4A1814"/>
    <w:rsid w:val="0B510D2F"/>
    <w:rsid w:val="0B767B3C"/>
    <w:rsid w:val="0BD60B5C"/>
    <w:rsid w:val="0C0E133A"/>
    <w:rsid w:val="0C4B2410"/>
    <w:rsid w:val="0C984883"/>
    <w:rsid w:val="0CAE5B2E"/>
    <w:rsid w:val="0D524167"/>
    <w:rsid w:val="0D587FCA"/>
    <w:rsid w:val="0D681ED9"/>
    <w:rsid w:val="0D6C179F"/>
    <w:rsid w:val="0DDB664A"/>
    <w:rsid w:val="0E891356"/>
    <w:rsid w:val="0E997EF0"/>
    <w:rsid w:val="0EC440FF"/>
    <w:rsid w:val="0EF139CD"/>
    <w:rsid w:val="0FCC0A5A"/>
    <w:rsid w:val="0FE0018D"/>
    <w:rsid w:val="10221AC0"/>
    <w:rsid w:val="108131DD"/>
    <w:rsid w:val="11043CD0"/>
    <w:rsid w:val="110F10D1"/>
    <w:rsid w:val="118D209C"/>
    <w:rsid w:val="11B82D63"/>
    <w:rsid w:val="11C5063A"/>
    <w:rsid w:val="12B27083"/>
    <w:rsid w:val="12BA7EC6"/>
    <w:rsid w:val="13116F0E"/>
    <w:rsid w:val="13132FCE"/>
    <w:rsid w:val="134A0035"/>
    <w:rsid w:val="135C7F4F"/>
    <w:rsid w:val="13997B36"/>
    <w:rsid w:val="141B1C76"/>
    <w:rsid w:val="14A20FFB"/>
    <w:rsid w:val="14B82DC6"/>
    <w:rsid w:val="153214F9"/>
    <w:rsid w:val="153372CB"/>
    <w:rsid w:val="16150148"/>
    <w:rsid w:val="16563130"/>
    <w:rsid w:val="169343E9"/>
    <w:rsid w:val="16AA08E2"/>
    <w:rsid w:val="16F24CA6"/>
    <w:rsid w:val="177E36D0"/>
    <w:rsid w:val="179450F0"/>
    <w:rsid w:val="17945CA4"/>
    <w:rsid w:val="180E362D"/>
    <w:rsid w:val="181B2E1C"/>
    <w:rsid w:val="18787128"/>
    <w:rsid w:val="18B278BB"/>
    <w:rsid w:val="18B9619D"/>
    <w:rsid w:val="190A668D"/>
    <w:rsid w:val="191242AE"/>
    <w:rsid w:val="19AC5C42"/>
    <w:rsid w:val="19BC1AC5"/>
    <w:rsid w:val="1A330485"/>
    <w:rsid w:val="1AA366F2"/>
    <w:rsid w:val="1AEF5DBD"/>
    <w:rsid w:val="1B423649"/>
    <w:rsid w:val="1B510746"/>
    <w:rsid w:val="1BA24967"/>
    <w:rsid w:val="1BD95F94"/>
    <w:rsid w:val="1BDA5141"/>
    <w:rsid w:val="1C3D1CD0"/>
    <w:rsid w:val="1C5E7298"/>
    <w:rsid w:val="1C851710"/>
    <w:rsid w:val="1DD14FB1"/>
    <w:rsid w:val="1DDD518B"/>
    <w:rsid w:val="1E1507D7"/>
    <w:rsid w:val="1E3072B7"/>
    <w:rsid w:val="1E403C53"/>
    <w:rsid w:val="1EA20D4A"/>
    <w:rsid w:val="1EAA6DF5"/>
    <w:rsid w:val="1ECC19F8"/>
    <w:rsid w:val="1EFF6958"/>
    <w:rsid w:val="1F0926FA"/>
    <w:rsid w:val="1F0A1209"/>
    <w:rsid w:val="1F734328"/>
    <w:rsid w:val="1FA11974"/>
    <w:rsid w:val="1FAE283E"/>
    <w:rsid w:val="1FB32543"/>
    <w:rsid w:val="20203DE8"/>
    <w:rsid w:val="2031215C"/>
    <w:rsid w:val="20955704"/>
    <w:rsid w:val="20DB7C51"/>
    <w:rsid w:val="20E9518E"/>
    <w:rsid w:val="20FE42D5"/>
    <w:rsid w:val="211313D4"/>
    <w:rsid w:val="21E52206"/>
    <w:rsid w:val="21F86645"/>
    <w:rsid w:val="23144387"/>
    <w:rsid w:val="234E7F45"/>
    <w:rsid w:val="23686144"/>
    <w:rsid w:val="239A17D4"/>
    <w:rsid w:val="239F51B6"/>
    <w:rsid w:val="241B2FD5"/>
    <w:rsid w:val="242445BB"/>
    <w:rsid w:val="243F039F"/>
    <w:rsid w:val="245B6D34"/>
    <w:rsid w:val="24B5447A"/>
    <w:rsid w:val="24B82068"/>
    <w:rsid w:val="24E10292"/>
    <w:rsid w:val="25043CC9"/>
    <w:rsid w:val="269447EB"/>
    <w:rsid w:val="27306E68"/>
    <w:rsid w:val="27606908"/>
    <w:rsid w:val="277E77C1"/>
    <w:rsid w:val="27E26E59"/>
    <w:rsid w:val="2809471B"/>
    <w:rsid w:val="28255BB3"/>
    <w:rsid w:val="285478B9"/>
    <w:rsid w:val="28603CA4"/>
    <w:rsid w:val="287D5E75"/>
    <w:rsid w:val="28AD0B61"/>
    <w:rsid w:val="29423CBE"/>
    <w:rsid w:val="29CD3FA9"/>
    <w:rsid w:val="2A4B23FB"/>
    <w:rsid w:val="2AC82235"/>
    <w:rsid w:val="2AF0613E"/>
    <w:rsid w:val="2B083F92"/>
    <w:rsid w:val="2B542A45"/>
    <w:rsid w:val="2BB96BD3"/>
    <w:rsid w:val="2BE54292"/>
    <w:rsid w:val="2C285659"/>
    <w:rsid w:val="2CF51ED1"/>
    <w:rsid w:val="2CFA23BD"/>
    <w:rsid w:val="2D3B228A"/>
    <w:rsid w:val="2D5923F4"/>
    <w:rsid w:val="2DB6192E"/>
    <w:rsid w:val="2DF36570"/>
    <w:rsid w:val="2E103F98"/>
    <w:rsid w:val="2EB775B3"/>
    <w:rsid w:val="2EE85B84"/>
    <w:rsid w:val="2EF94A67"/>
    <w:rsid w:val="2EFC31BC"/>
    <w:rsid w:val="2F3D4E71"/>
    <w:rsid w:val="302E07AF"/>
    <w:rsid w:val="30866EAA"/>
    <w:rsid w:val="30946552"/>
    <w:rsid w:val="309E20B5"/>
    <w:rsid w:val="30F3431F"/>
    <w:rsid w:val="311B0263"/>
    <w:rsid w:val="316D7D0D"/>
    <w:rsid w:val="319D3380"/>
    <w:rsid w:val="31AE180F"/>
    <w:rsid w:val="32A942B0"/>
    <w:rsid w:val="32F13120"/>
    <w:rsid w:val="333663A2"/>
    <w:rsid w:val="335B55F1"/>
    <w:rsid w:val="33863C3A"/>
    <w:rsid w:val="33A81036"/>
    <w:rsid w:val="33E26367"/>
    <w:rsid w:val="33F614DE"/>
    <w:rsid w:val="34207E90"/>
    <w:rsid w:val="342C61EA"/>
    <w:rsid w:val="34914DCA"/>
    <w:rsid w:val="34C6331F"/>
    <w:rsid w:val="34D95BB9"/>
    <w:rsid w:val="35050B53"/>
    <w:rsid w:val="354D014F"/>
    <w:rsid w:val="35502BD2"/>
    <w:rsid w:val="361C2353"/>
    <w:rsid w:val="3635547B"/>
    <w:rsid w:val="36746B61"/>
    <w:rsid w:val="36A9407C"/>
    <w:rsid w:val="36FA1D41"/>
    <w:rsid w:val="37C2178A"/>
    <w:rsid w:val="37E26F6D"/>
    <w:rsid w:val="37E93248"/>
    <w:rsid w:val="37F97B97"/>
    <w:rsid w:val="380411EC"/>
    <w:rsid w:val="3829480D"/>
    <w:rsid w:val="383529C2"/>
    <w:rsid w:val="383C5BD0"/>
    <w:rsid w:val="38536D3F"/>
    <w:rsid w:val="387D26D9"/>
    <w:rsid w:val="388727CC"/>
    <w:rsid w:val="39024B57"/>
    <w:rsid w:val="3A06167E"/>
    <w:rsid w:val="3A6F42D5"/>
    <w:rsid w:val="3A82293D"/>
    <w:rsid w:val="3A9E2AD9"/>
    <w:rsid w:val="3AC57875"/>
    <w:rsid w:val="3AE309A9"/>
    <w:rsid w:val="3AEF40DA"/>
    <w:rsid w:val="3B596DF7"/>
    <w:rsid w:val="3BC23F1A"/>
    <w:rsid w:val="3C5503C9"/>
    <w:rsid w:val="3C6D47EB"/>
    <w:rsid w:val="3CD8469E"/>
    <w:rsid w:val="3D2E7413"/>
    <w:rsid w:val="3D5934AC"/>
    <w:rsid w:val="3D966C01"/>
    <w:rsid w:val="3DA51E2F"/>
    <w:rsid w:val="3DB43891"/>
    <w:rsid w:val="3E0B7BD9"/>
    <w:rsid w:val="3E4456FC"/>
    <w:rsid w:val="3F7117D8"/>
    <w:rsid w:val="3FEB0FB3"/>
    <w:rsid w:val="40325295"/>
    <w:rsid w:val="407C021F"/>
    <w:rsid w:val="40F82E28"/>
    <w:rsid w:val="41585AC3"/>
    <w:rsid w:val="41B34CCB"/>
    <w:rsid w:val="420610DF"/>
    <w:rsid w:val="429544E1"/>
    <w:rsid w:val="42CE6929"/>
    <w:rsid w:val="42F71CEC"/>
    <w:rsid w:val="43E53BCD"/>
    <w:rsid w:val="43F03364"/>
    <w:rsid w:val="443B107F"/>
    <w:rsid w:val="44776D6B"/>
    <w:rsid w:val="44843D36"/>
    <w:rsid w:val="44B14540"/>
    <w:rsid w:val="44BA7E1E"/>
    <w:rsid w:val="44BE79C3"/>
    <w:rsid w:val="455340E3"/>
    <w:rsid w:val="45CA31DA"/>
    <w:rsid w:val="45EC6821"/>
    <w:rsid w:val="45F303D0"/>
    <w:rsid w:val="45F84858"/>
    <w:rsid w:val="462356B3"/>
    <w:rsid w:val="464004CF"/>
    <w:rsid w:val="4673772B"/>
    <w:rsid w:val="46A55352"/>
    <w:rsid w:val="46B51FCF"/>
    <w:rsid w:val="46BA0199"/>
    <w:rsid w:val="46FF6AF5"/>
    <w:rsid w:val="47062A9A"/>
    <w:rsid w:val="47993F84"/>
    <w:rsid w:val="47BD666C"/>
    <w:rsid w:val="480A17DC"/>
    <w:rsid w:val="497F7FCC"/>
    <w:rsid w:val="49B17433"/>
    <w:rsid w:val="4A284A82"/>
    <w:rsid w:val="4A662E1D"/>
    <w:rsid w:val="4A7E32B4"/>
    <w:rsid w:val="4AFC533A"/>
    <w:rsid w:val="4B1367B9"/>
    <w:rsid w:val="4B316DE7"/>
    <w:rsid w:val="4B6D7831"/>
    <w:rsid w:val="4B8D0855"/>
    <w:rsid w:val="4B920891"/>
    <w:rsid w:val="4BB221B4"/>
    <w:rsid w:val="4C353BC7"/>
    <w:rsid w:val="4C5D54D6"/>
    <w:rsid w:val="4C814518"/>
    <w:rsid w:val="4C91315E"/>
    <w:rsid w:val="4CAD0872"/>
    <w:rsid w:val="4CCE50CA"/>
    <w:rsid w:val="4D3A24A4"/>
    <w:rsid w:val="4D594475"/>
    <w:rsid w:val="4D762F64"/>
    <w:rsid w:val="4DB06342"/>
    <w:rsid w:val="4DEC01C6"/>
    <w:rsid w:val="4DF158ED"/>
    <w:rsid w:val="4E4D0205"/>
    <w:rsid w:val="4EC83A06"/>
    <w:rsid w:val="4F235FC8"/>
    <w:rsid w:val="4F2C3853"/>
    <w:rsid w:val="4F7F20AA"/>
    <w:rsid w:val="4F873909"/>
    <w:rsid w:val="4F9510BA"/>
    <w:rsid w:val="4FF617D6"/>
    <w:rsid w:val="50507ECA"/>
    <w:rsid w:val="506B2DFC"/>
    <w:rsid w:val="508F3931"/>
    <w:rsid w:val="50E64646"/>
    <w:rsid w:val="513A3326"/>
    <w:rsid w:val="515C13CF"/>
    <w:rsid w:val="516A6684"/>
    <w:rsid w:val="518C6DB2"/>
    <w:rsid w:val="51AF5989"/>
    <w:rsid w:val="51E25CE3"/>
    <w:rsid w:val="51E261D3"/>
    <w:rsid w:val="51EA16FB"/>
    <w:rsid w:val="52A32CE7"/>
    <w:rsid w:val="52A955AB"/>
    <w:rsid w:val="532C26FC"/>
    <w:rsid w:val="53322A76"/>
    <w:rsid w:val="53C54AA3"/>
    <w:rsid w:val="547F5841"/>
    <w:rsid w:val="54A648D1"/>
    <w:rsid w:val="54D81A93"/>
    <w:rsid w:val="54E44ED6"/>
    <w:rsid w:val="55571991"/>
    <w:rsid w:val="566931AC"/>
    <w:rsid w:val="56F374FB"/>
    <w:rsid w:val="59620232"/>
    <w:rsid w:val="59A00F56"/>
    <w:rsid w:val="59B24039"/>
    <w:rsid w:val="59DA5A4F"/>
    <w:rsid w:val="5A31005C"/>
    <w:rsid w:val="5B8D1AC1"/>
    <w:rsid w:val="5BA3592C"/>
    <w:rsid w:val="5BAB7539"/>
    <w:rsid w:val="5BCE0DEA"/>
    <w:rsid w:val="5C610721"/>
    <w:rsid w:val="5C8B6FF1"/>
    <w:rsid w:val="5CFE4143"/>
    <w:rsid w:val="5D13255A"/>
    <w:rsid w:val="5D331782"/>
    <w:rsid w:val="5E204AD7"/>
    <w:rsid w:val="5E4C6102"/>
    <w:rsid w:val="5E6D4BC0"/>
    <w:rsid w:val="5EEA5BA3"/>
    <w:rsid w:val="5F3E69CE"/>
    <w:rsid w:val="6009519E"/>
    <w:rsid w:val="60AD5F5F"/>
    <w:rsid w:val="60D525F3"/>
    <w:rsid w:val="60E30438"/>
    <w:rsid w:val="611E5441"/>
    <w:rsid w:val="612D3C7B"/>
    <w:rsid w:val="61826F89"/>
    <w:rsid w:val="623E2101"/>
    <w:rsid w:val="62947A1C"/>
    <w:rsid w:val="62CD6DE1"/>
    <w:rsid w:val="62E70A4E"/>
    <w:rsid w:val="62FD4A9D"/>
    <w:rsid w:val="632C6FC4"/>
    <w:rsid w:val="634B3FF6"/>
    <w:rsid w:val="64460ECC"/>
    <w:rsid w:val="644F5E22"/>
    <w:rsid w:val="64681DB1"/>
    <w:rsid w:val="64902A98"/>
    <w:rsid w:val="64D843A5"/>
    <w:rsid w:val="652B7ADD"/>
    <w:rsid w:val="657E520F"/>
    <w:rsid w:val="663B46C9"/>
    <w:rsid w:val="663F30CF"/>
    <w:rsid w:val="66F93E1B"/>
    <w:rsid w:val="67413BF6"/>
    <w:rsid w:val="6755359A"/>
    <w:rsid w:val="67A7418D"/>
    <w:rsid w:val="67D27C62"/>
    <w:rsid w:val="67D67A95"/>
    <w:rsid w:val="67DF6978"/>
    <w:rsid w:val="694E04D2"/>
    <w:rsid w:val="695664EF"/>
    <w:rsid w:val="69653491"/>
    <w:rsid w:val="698044A5"/>
    <w:rsid w:val="69E66B78"/>
    <w:rsid w:val="6A510F7A"/>
    <w:rsid w:val="6A7259EE"/>
    <w:rsid w:val="6AA67E64"/>
    <w:rsid w:val="6AF21A55"/>
    <w:rsid w:val="6B0D712F"/>
    <w:rsid w:val="6B28575B"/>
    <w:rsid w:val="6B472B04"/>
    <w:rsid w:val="6B827ED3"/>
    <w:rsid w:val="6BD66216"/>
    <w:rsid w:val="6BE4485D"/>
    <w:rsid w:val="6BFE3795"/>
    <w:rsid w:val="6C1E113E"/>
    <w:rsid w:val="6C3B431E"/>
    <w:rsid w:val="6C857DA8"/>
    <w:rsid w:val="6CC1587C"/>
    <w:rsid w:val="6D2B74AA"/>
    <w:rsid w:val="6D697BC3"/>
    <w:rsid w:val="6D7111BC"/>
    <w:rsid w:val="6DCA5CB9"/>
    <w:rsid w:val="6E08583A"/>
    <w:rsid w:val="6E280F38"/>
    <w:rsid w:val="6E5408E4"/>
    <w:rsid w:val="6E8A21F7"/>
    <w:rsid w:val="6F000F0B"/>
    <w:rsid w:val="6F197436"/>
    <w:rsid w:val="6F2867BD"/>
    <w:rsid w:val="6F44559B"/>
    <w:rsid w:val="70115BE8"/>
    <w:rsid w:val="703A2630"/>
    <w:rsid w:val="709C594C"/>
    <w:rsid w:val="70C723A5"/>
    <w:rsid w:val="71D0045B"/>
    <w:rsid w:val="71D05F49"/>
    <w:rsid w:val="71F773F9"/>
    <w:rsid w:val="73090FE2"/>
    <w:rsid w:val="73265607"/>
    <w:rsid w:val="7399271A"/>
    <w:rsid w:val="73EC173C"/>
    <w:rsid w:val="73F82EA2"/>
    <w:rsid w:val="7435596C"/>
    <w:rsid w:val="74722C9A"/>
    <w:rsid w:val="747E452E"/>
    <w:rsid w:val="74A647DF"/>
    <w:rsid w:val="74FA5A4A"/>
    <w:rsid w:val="754B57C9"/>
    <w:rsid w:val="755F161D"/>
    <w:rsid w:val="75884210"/>
    <w:rsid w:val="75BD4A84"/>
    <w:rsid w:val="75EA7003"/>
    <w:rsid w:val="760D56E2"/>
    <w:rsid w:val="76EE218C"/>
    <w:rsid w:val="772E0B03"/>
    <w:rsid w:val="77642276"/>
    <w:rsid w:val="778A542A"/>
    <w:rsid w:val="77C177F8"/>
    <w:rsid w:val="77EF5E51"/>
    <w:rsid w:val="789A3CEC"/>
    <w:rsid w:val="79332F0B"/>
    <w:rsid w:val="796923D7"/>
    <w:rsid w:val="79C11BD2"/>
    <w:rsid w:val="79E8078D"/>
    <w:rsid w:val="7A3422EE"/>
    <w:rsid w:val="7A4774F3"/>
    <w:rsid w:val="7AA678C6"/>
    <w:rsid w:val="7B113087"/>
    <w:rsid w:val="7B230F9F"/>
    <w:rsid w:val="7B5441DD"/>
    <w:rsid w:val="7B9E2E7D"/>
    <w:rsid w:val="7BB92BA6"/>
    <w:rsid w:val="7BEA35A6"/>
    <w:rsid w:val="7C050B07"/>
    <w:rsid w:val="7C9E7A01"/>
    <w:rsid w:val="7D2E186E"/>
    <w:rsid w:val="7D8F4D8B"/>
    <w:rsid w:val="7DBA4407"/>
    <w:rsid w:val="7DD14D63"/>
    <w:rsid w:val="7E04089A"/>
    <w:rsid w:val="7E0773D0"/>
    <w:rsid w:val="7E5D66DD"/>
    <w:rsid w:val="7E734104"/>
    <w:rsid w:val="7E7C3173"/>
    <w:rsid w:val="7EEE5FCC"/>
    <w:rsid w:val="7F2E279D"/>
    <w:rsid w:val="7F60044C"/>
    <w:rsid w:val="7F7054DF"/>
    <w:rsid w:val="7F880165"/>
    <w:rsid w:val="7FD453A9"/>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oleObject" Target="embeddings/oleObject1.bin"/><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1</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2024-05-10T06:18:40Z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CE2B1233B9514142B7C7622F11F065A9</vt:lpwstr>
  </property>
</Properties>
</file>